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436DF4" w14:textId="77777777" w:rsidR="00BC24A8" w:rsidRDefault="00000000">
      <w:pPr>
        <w:spacing w:after="120"/>
        <w:jc w:val="center"/>
      </w:pPr>
      <w:r>
        <w:rPr>
          <w:noProof/>
        </w:rPr>
        <w:drawing>
          <wp:inline distT="0" distB="0" distL="0" distR="0" wp14:anchorId="27C5B934" wp14:editId="675EC379">
            <wp:extent cx="857250" cy="857250"/>
            <wp:effectExtent l="0" t="0" r="0" b="6350"/>
            <wp:docPr id="1" name="UTJ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TJLogo"/>
                    <pic:cNvPicPr>
                      <a:picLocks noChangeAspect="1" noChangeArrowheads="1"/>
                    </pic:cNvPicPr>
                  </pic:nvPicPr>
                  <pic:blipFill>
                    <a:blip r:embed="rId7" cstate="print"/>
                    <a:stretch>
                      <a:fillRect/>
                    </a:stretch>
                  </pic:blipFill>
                  <pic:spPr bwMode="auto">
                    <a:xfrm>
                      <a:off x="0" y="0"/>
                      <a:ext cx="857250" cy="857250"/>
                    </a:xfrm>
                    <a:prstGeom prst="rect">
                      <a:avLst/>
                    </a:prstGeom>
                  </pic:spPr>
                </pic:pic>
              </a:graphicData>
            </a:graphic>
          </wp:inline>
        </w:drawing>
      </w:r>
    </w:p>
    <w:p w14:paraId="3ADE08CD" w14:textId="77777777" w:rsidR="00BC24A8" w:rsidRDefault="00000000">
      <w:pPr>
        <w:spacing w:after="60"/>
        <w:jc w:val="center"/>
      </w:pPr>
      <w:r>
        <w:rPr>
          <w:b/>
          <w:bCs/>
          <w:color w:val="03153D"/>
          <w:sz w:val="28"/>
          <w:szCs w:val="28"/>
        </w:rPr>
        <w:t>Untold Journey Foundation</w:t>
      </w:r>
    </w:p>
    <w:p w14:paraId="73046E2C" w14:textId="77777777" w:rsidR="00BC24A8" w:rsidRDefault="00000000">
      <w:pPr>
        <w:spacing w:after="60"/>
        <w:jc w:val="center"/>
      </w:pPr>
      <w:r>
        <w:rPr>
          <w:b/>
          <w:bCs/>
          <w:color w:val="D69A07"/>
          <w:sz w:val="24"/>
          <w:szCs w:val="24"/>
        </w:rPr>
        <w:t>Dual Role Governance Policy</w:t>
      </w:r>
    </w:p>
    <w:p w14:paraId="0C0375B0" w14:textId="77777777" w:rsidR="00BC24A8" w:rsidRDefault="00000000">
      <w:pPr>
        <w:pBdr>
          <w:bottom w:val="single" w:sz="6" w:space="1" w:color="D69A07"/>
        </w:pBdr>
        <w:spacing w:after="280"/>
        <w:jc w:val="center"/>
      </w:pPr>
      <w:r>
        <w:rPr>
          <w:i/>
          <w:iCs/>
          <w:color w:val="555555"/>
          <w:sz w:val="20"/>
          <w:szCs w:val="20"/>
        </w:rPr>
        <w:t>Adopted: _____________________________   |   Last Reviewed: _____________________________</w:t>
      </w:r>
    </w:p>
    <w:p w14:paraId="7BC6A365" w14:textId="77777777" w:rsidR="00BC24A8" w:rsidRDefault="00000000">
      <w:pPr>
        <w:pStyle w:val="Heading1"/>
      </w:pPr>
      <w:r>
        <w:rPr>
          <w:b/>
          <w:bCs/>
          <w:color w:val="03153D"/>
          <w:sz w:val="22"/>
          <w:szCs w:val="22"/>
        </w:rPr>
        <w:t>Purpose</w:t>
      </w:r>
    </w:p>
    <w:p w14:paraId="0E775E51" w14:textId="77777777" w:rsidR="00BC24A8" w:rsidRDefault="00000000">
      <w:pPr>
        <w:rPr>
          <w:sz w:val="21"/>
          <w:szCs w:val="21"/>
        </w:rPr>
      </w:pPr>
      <w:r>
        <w:rPr>
          <w:sz w:val="21"/>
          <w:szCs w:val="21"/>
        </w:rPr>
        <w:t>This policy acknowledges and governs the arrangement by which a single individual serves simultaneously as both Board Chair (President) and Executive Director of the Untold Journey Foundation. It establishes safeguards to maintain effective oversight, transparency, and accountability in the absence of role separation.</w:t>
      </w:r>
    </w:p>
    <w:p w14:paraId="146A103C" w14:textId="77777777" w:rsidR="00BC24A8" w:rsidRDefault="00BC24A8">
      <w:pPr>
        <w:pStyle w:val="Heading1"/>
      </w:pPr>
    </w:p>
    <w:p w14:paraId="43FD9A39" w14:textId="77777777" w:rsidR="00BC24A8" w:rsidRDefault="00000000">
      <w:pPr>
        <w:pStyle w:val="Heading1"/>
      </w:pPr>
      <w:r>
        <w:rPr>
          <w:b/>
          <w:bCs/>
          <w:color w:val="03153D"/>
          <w:sz w:val="22"/>
          <w:szCs w:val="22"/>
        </w:rPr>
        <w:t>Background and Rationale</w:t>
      </w:r>
    </w:p>
    <w:p w14:paraId="73126109" w14:textId="77777777" w:rsidR="00BC24A8" w:rsidRDefault="00000000">
      <w:pPr>
        <w:rPr>
          <w:sz w:val="21"/>
          <w:szCs w:val="21"/>
        </w:rPr>
      </w:pPr>
      <w:r>
        <w:rPr>
          <w:sz w:val="21"/>
          <w:szCs w:val="21"/>
        </w:rPr>
        <w:t>The Foundation is in an early stage of organizational development. The Board of Directors has determined that combining the roles of Board Chair and Executive Director is a practical and temporary measure consistent with the Foundation’s current size, all-volunteer structure, and operational capacity. This arrangement is permissible under Virginia law (Virginia Nonstock Corporation Act) and is not prohibited by the Foundation’s bylaws.</w:t>
      </w:r>
    </w:p>
    <w:p w14:paraId="2321786D" w14:textId="77777777" w:rsidR="00BC24A8" w:rsidRDefault="00BC24A8">
      <w:pPr>
        <w:pStyle w:val="Heading1"/>
      </w:pPr>
    </w:p>
    <w:p w14:paraId="5615C57D" w14:textId="77777777" w:rsidR="00BC24A8" w:rsidRDefault="00000000">
      <w:pPr>
        <w:pStyle w:val="Heading1"/>
      </w:pPr>
      <w:r>
        <w:rPr>
          <w:b/>
          <w:bCs/>
          <w:color w:val="03153D"/>
          <w:sz w:val="22"/>
          <w:szCs w:val="22"/>
        </w:rPr>
        <w:t>Scope</w:t>
      </w:r>
    </w:p>
    <w:p w14:paraId="1C4628B9" w14:textId="77777777" w:rsidR="00BC24A8" w:rsidRDefault="00000000">
      <w:pPr>
        <w:rPr>
          <w:sz w:val="21"/>
          <w:szCs w:val="21"/>
        </w:rPr>
      </w:pPr>
      <w:r>
        <w:rPr>
          <w:sz w:val="21"/>
          <w:szCs w:val="21"/>
        </w:rPr>
        <w:t>This policy applies whenever one individual holds both the Board Chair (or President) and Executive Director roles, whether simultaneously or in functional equivalence.</w:t>
      </w:r>
    </w:p>
    <w:p w14:paraId="4A9512A7" w14:textId="77777777" w:rsidR="00BC24A8" w:rsidRDefault="00BC24A8">
      <w:pPr>
        <w:pStyle w:val="Heading1"/>
      </w:pPr>
    </w:p>
    <w:p w14:paraId="53F97B84" w14:textId="77777777" w:rsidR="00BC24A8" w:rsidRDefault="00000000">
      <w:pPr>
        <w:pStyle w:val="Heading1"/>
      </w:pPr>
      <w:r>
        <w:rPr>
          <w:b/>
          <w:bCs/>
          <w:color w:val="03153D"/>
          <w:sz w:val="22"/>
          <w:szCs w:val="22"/>
        </w:rPr>
        <w:t>Oversight Safeguards</w:t>
      </w:r>
    </w:p>
    <w:p w14:paraId="2504518B" w14:textId="77777777" w:rsidR="00BC24A8" w:rsidRDefault="00000000">
      <w:pPr>
        <w:rPr>
          <w:sz w:val="21"/>
          <w:szCs w:val="21"/>
        </w:rPr>
      </w:pPr>
      <w:r>
        <w:rPr>
          <w:sz w:val="21"/>
          <w:szCs w:val="21"/>
        </w:rPr>
        <w:t>To compensate for the absence of role separation, the Board shall maintain the following practices:</w:t>
      </w:r>
    </w:p>
    <w:p w14:paraId="31B90C20" w14:textId="77777777" w:rsidR="00BC24A8" w:rsidRDefault="00000000">
      <w:pPr>
        <w:pStyle w:val="ListParagraph"/>
        <w:numPr>
          <w:ilvl w:val="0"/>
          <w:numId w:val="2"/>
        </w:numPr>
        <w:rPr>
          <w:sz w:val="21"/>
          <w:szCs w:val="21"/>
        </w:rPr>
      </w:pPr>
      <w:r>
        <w:rPr>
          <w:b/>
          <w:bCs/>
          <w:sz w:val="21"/>
          <w:szCs w:val="21"/>
        </w:rPr>
        <w:t xml:space="preserve">Independent Quorum. </w:t>
      </w:r>
      <w:r>
        <w:rPr>
          <w:sz w:val="21"/>
          <w:szCs w:val="21"/>
        </w:rPr>
        <w:t>A majority of the Board must be present and voting for any significant decision. The dual-role individual shall not constitute the sole quorum.</w:t>
      </w:r>
    </w:p>
    <w:p w14:paraId="2312FE2B" w14:textId="77777777" w:rsidR="00BC24A8" w:rsidRDefault="00000000">
      <w:pPr>
        <w:pStyle w:val="ListParagraph"/>
        <w:numPr>
          <w:ilvl w:val="0"/>
          <w:numId w:val="2"/>
        </w:numPr>
        <w:rPr>
          <w:sz w:val="21"/>
          <w:szCs w:val="21"/>
        </w:rPr>
      </w:pPr>
      <w:r>
        <w:rPr>
          <w:b/>
          <w:bCs/>
          <w:sz w:val="21"/>
          <w:szCs w:val="21"/>
        </w:rPr>
        <w:t xml:space="preserve">Recusal. </w:t>
      </w:r>
      <w:r>
        <w:rPr>
          <w:sz w:val="21"/>
          <w:szCs w:val="21"/>
        </w:rPr>
        <w:t>The individual holding the dual role shall recuse themselves from any vote in which they have a personal, financial, or conflicting interest, consistent with the Foundation’s conflict of interest provisions (Bylaws, Article VI, Section 5).</w:t>
      </w:r>
    </w:p>
    <w:p w14:paraId="2AAD8998" w14:textId="77777777" w:rsidR="00BC24A8" w:rsidRDefault="00000000">
      <w:pPr>
        <w:pStyle w:val="ListParagraph"/>
        <w:numPr>
          <w:ilvl w:val="0"/>
          <w:numId w:val="2"/>
        </w:numPr>
        <w:rPr>
          <w:sz w:val="21"/>
          <w:szCs w:val="21"/>
        </w:rPr>
      </w:pPr>
      <w:r>
        <w:rPr>
          <w:b/>
          <w:bCs/>
          <w:sz w:val="21"/>
          <w:szCs w:val="21"/>
        </w:rPr>
        <w:t xml:space="preserve">Performance Review. </w:t>
      </w:r>
      <w:r>
        <w:rPr>
          <w:sz w:val="21"/>
          <w:szCs w:val="21"/>
        </w:rPr>
        <w:t>The remaining board members shall conduct an annual review of the dual-role individual’s performance as Executive Director. This review shall be documented in board meeting minutes.</w:t>
      </w:r>
    </w:p>
    <w:p w14:paraId="5E845B1E" w14:textId="77777777" w:rsidR="00BC24A8" w:rsidRDefault="00000000">
      <w:pPr>
        <w:pStyle w:val="ListParagraph"/>
        <w:numPr>
          <w:ilvl w:val="0"/>
          <w:numId w:val="2"/>
        </w:numPr>
        <w:rPr>
          <w:sz w:val="21"/>
          <w:szCs w:val="21"/>
        </w:rPr>
      </w:pPr>
      <w:r>
        <w:rPr>
          <w:b/>
          <w:bCs/>
          <w:sz w:val="21"/>
          <w:szCs w:val="21"/>
        </w:rPr>
        <w:t xml:space="preserve">Compensation Approval. </w:t>
      </w:r>
      <w:r>
        <w:rPr>
          <w:sz w:val="21"/>
          <w:szCs w:val="21"/>
        </w:rPr>
        <w:t>If and when compensation is introduced for the Executive Director role, it must be approved by a majority vote of disinterested board members only, following a review of comparable compensation data.</w:t>
      </w:r>
    </w:p>
    <w:p w14:paraId="16A87201" w14:textId="77777777" w:rsidR="00BC24A8" w:rsidRDefault="00000000">
      <w:pPr>
        <w:pStyle w:val="ListParagraph"/>
        <w:numPr>
          <w:ilvl w:val="0"/>
          <w:numId w:val="2"/>
        </w:numPr>
        <w:rPr>
          <w:sz w:val="21"/>
          <w:szCs w:val="21"/>
        </w:rPr>
      </w:pPr>
      <w:r>
        <w:rPr>
          <w:b/>
          <w:bCs/>
          <w:sz w:val="21"/>
          <w:szCs w:val="21"/>
        </w:rPr>
        <w:t xml:space="preserve">Financial Oversight. </w:t>
      </w:r>
      <w:r>
        <w:rPr>
          <w:sz w:val="21"/>
          <w:szCs w:val="21"/>
        </w:rPr>
        <w:t>The Treasurer shall independently review and report on all financial activity at each board meeting. No financial transaction shall be authorized solely by the dual-role individual without secondary approval as defined by board resolution.</w:t>
      </w:r>
    </w:p>
    <w:p w14:paraId="572A5D9D" w14:textId="77777777" w:rsidR="00BC24A8" w:rsidRDefault="00BC24A8">
      <w:pPr>
        <w:pStyle w:val="Heading1"/>
      </w:pPr>
    </w:p>
    <w:p w14:paraId="0F56344B" w14:textId="77777777" w:rsidR="00BC24A8" w:rsidRDefault="00000000">
      <w:pPr>
        <w:pStyle w:val="Heading1"/>
      </w:pPr>
      <w:r>
        <w:rPr>
          <w:b/>
          <w:bCs/>
          <w:color w:val="03153D"/>
          <w:sz w:val="22"/>
          <w:szCs w:val="22"/>
        </w:rPr>
        <w:t>Transparency and Disclosure</w:t>
      </w:r>
    </w:p>
    <w:p w14:paraId="7920D611" w14:textId="77777777" w:rsidR="00BC24A8" w:rsidRDefault="00000000">
      <w:pPr>
        <w:rPr>
          <w:sz w:val="21"/>
          <w:szCs w:val="21"/>
        </w:rPr>
      </w:pPr>
      <w:r>
        <w:rPr>
          <w:sz w:val="21"/>
          <w:szCs w:val="21"/>
        </w:rPr>
        <w:t>The Foundation shall disclose this dual-role arrangement in its annual IRS Form 990 filing, grant applications, and any governance documentation requested by funders or regulatory bodies. The Board Chair shall not sign documents on behalf of the organization in both capacities simultaneously where separate signatures are required.</w:t>
      </w:r>
    </w:p>
    <w:p w14:paraId="7BC14C8C" w14:textId="77777777" w:rsidR="00BC24A8" w:rsidRDefault="00BC24A8">
      <w:pPr>
        <w:pStyle w:val="Heading1"/>
      </w:pPr>
    </w:p>
    <w:p w14:paraId="41A29929" w14:textId="77777777" w:rsidR="00BC24A8" w:rsidRDefault="00000000">
      <w:pPr>
        <w:pStyle w:val="Heading1"/>
      </w:pPr>
      <w:r>
        <w:rPr>
          <w:b/>
          <w:bCs/>
          <w:color w:val="03153D"/>
          <w:sz w:val="22"/>
          <w:szCs w:val="22"/>
        </w:rPr>
        <w:t>Transition Plan</w:t>
      </w:r>
    </w:p>
    <w:p w14:paraId="15DA8EF1" w14:textId="77777777" w:rsidR="00BC24A8" w:rsidRDefault="00000000">
      <w:pPr>
        <w:rPr>
          <w:sz w:val="21"/>
          <w:szCs w:val="21"/>
        </w:rPr>
      </w:pPr>
      <w:r>
        <w:rPr>
          <w:sz w:val="21"/>
          <w:szCs w:val="21"/>
        </w:rPr>
        <w:lastRenderedPageBreak/>
        <w:t>The Board acknowledges that separating the Board Chair and Executive Director roles is a best practice goal. The Board shall revisit this arrangement annually and shall take steps to separate the roles when: (a) the Foundation’s operational capacity supports hiring or appointing a distinct Executive Director, or (b) the arrangement creates material governance concerns, funder resistance, or legal risk.</w:t>
      </w:r>
    </w:p>
    <w:p w14:paraId="7CAA6D3E" w14:textId="77777777" w:rsidR="00BC24A8" w:rsidRDefault="00BC24A8">
      <w:pPr>
        <w:pStyle w:val="Heading1"/>
      </w:pPr>
    </w:p>
    <w:p w14:paraId="312DDE7B" w14:textId="77777777" w:rsidR="00BC24A8" w:rsidRDefault="00000000">
      <w:pPr>
        <w:pStyle w:val="Heading1"/>
      </w:pPr>
      <w:r>
        <w:rPr>
          <w:b/>
          <w:bCs/>
          <w:color w:val="03153D"/>
          <w:sz w:val="22"/>
          <w:szCs w:val="22"/>
        </w:rPr>
        <w:t>Amendment</w:t>
      </w:r>
    </w:p>
    <w:p w14:paraId="47BCF15F" w14:textId="77777777" w:rsidR="00BC24A8" w:rsidRDefault="00000000">
      <w:pPr>
        <w:rPr>
          <w:sz w:val="21"/>
          <w:szCs w:val="21"/>
        </w:rPr>
      </w:pPr>
      <w:r>
        <w:rPr>
          <w:sz w:val="21"/>
          <w:szCs w:val="21"/>
        </w:rPr>
        <w:t>This policy may be amended by a majority vote of the Board of Directors at any duly called meeting, provided written notice is given to all directors at least seven (7) days in advance.</w:t>
      </w:r>
    </w:p>
    <w:p w14:paraId="36849770" w14:textId="77777777" w:rsidR="00BC24A8" w:rsidRDefault="00BC24A8">
      <w:pPr>
        <w:spacing w:before="280"/>
        <w:rPr>
          <w:sz w:val="21"/>
          <w:szCs w:val="21"/>
        </w:rPr>
      </w:pPr>
    </w:p>
    <w:p w14:paraId="2AE63384" w14:textId="77777777" w:rsidR="00DA4EAB" w:rsidRDefault="00DA4EAB" w:rsidP="00DA4EAB">
      <w:pPr>
        <w:pStyle w:val="Heading2"/>
        <w:spacing w:before="200" w:after="80"/>
      </w:pPr>
      <w:r>
        <w:rPr>
          <w:b/>
          <w:bCs/>
          <w:color w:val="03153D"/>
          <w:sz w:val="24"/>
          <w:szCs w:val="24"/>
        </w:rPr>
        <w:t>Acknowledgment and Adoption</w:t>
      </w:r>
    </w:p>
    <w:p w14:paraId="5C53298A" w14:textId="77777777" w:rsidR="00DA4EAB" w:rsidRDefault="00DA4EAB" w:rsidP="00DA4EAB">
      <w:pPr>
        <w:spacing w:before="200" w:after="60"/>
      </w:pPr>
      <w:r>
        <w:rPr>
          <w:b/>
          <w:bCs/>
          <w:color w:val="03153D"/>
        </w:rPr>
        <w:t xml:space="preserve">President: </w:t>
      </w:r>
      <w:r>
        <w:t>_______________________________________   Date: _________________</w:t>
      </w:r>
    </w:p>
    <w:p w14:paraId="7D6D841F" w14:textId="77777777" w:rsidR="00DA4EAB" w:rsidRDefault="00DA4EAB" w:rsidP="00DA4EAB">
      <w:pPr>
        <w:spacing w:before="200" w:after="60"/>
      </w:pPr>
      <w:r>
        <w:rPr>
          <w:b/>
          <w:bCs/>
          <w:color w:val="03153D"/>
        </w:rPr>
        <w:t xml:space="preserve">Secretary: </w:t>
      </w:r>
      <w:r>
        <w:t>_______________________________________   Date: _________________</w:t>
      </w:r>
    </w:p>
    <w:p w14:paraId="6AB11D80" w14:textId="37E9A18D" w:rsidR="00BC24A8" w:rsidRDefault="00BC24A8">
      <w:pPr>
        <w:spacing w:before="200" w:after="60"/>
      </w:pPr>
    </w:p>
    <w:sectPr w:rsidR="00BC24A8">
      <w:headerReference w:type="even" r:id="rId8"/>
      <w:headerReference w:type="default" r:id="rId9"/>
      <w:footerReference w:type="even" r:id="rId10"/>
      <w:footerReference w:type="default" r:id="rId11"/>
      <w:headerReference w:type="first" r:id="rId12"/>
      <w:footerReference w:type="first" r:id="rId13"/>
      <w:pgSz w:w="12240" w:h="15840"/>
      <w:pgMar w:top="873"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23D175" w14:textId="77777777" w:rsidR="00251FD3" w:rsidRDefault="00251FD3">
      <w:r>
        <w:separator/>
      </w:r>
    </w:p>
  </w:endnote>
  <w:endnote w:type="continuationSeparator" w:id="0">
    <w:p w14:paraId="683081C6" w14:textId="77777777" w:rsidR="00251FD3" w:rsidRDefault="00251F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24214935"/>
      <w:docPartObj>
        <w:docPartGallery w:val="Page Numbers (Bottom of Page)"/>
        <w:docPartUnique/>
      </w:docPartObj>
    </w:sdtPr>
    <w:sdtContent>
      <w:p w14:paraId="21AF0CDA" w14:textId="77777777" w:rsidR="003A5F64" w:rsidRDefault="003A5F64" w:rsidP="00582C0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538CDA24" w14:textId="77777777" w:rsidR="003A5F64" w:rsidRDefault="003A5F64" w:rsidP="003A5F6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81184989"/>
      <w:docPartObj>
        <w:docPartGallery w:val="Page Numbers (Bottom of Page)"/>
        <w:docPartUnique/>
      </w:docPartObj>
    </w:sdtPr>
    <w:sdtEndPr>
      <w:rPr>
        <w:rStyle w:val="PageNumber"/>
        <w:sz w:val="18"/>
        <w:szCs w:val="18"/>
      </w:rPr>
    </w:sdtEndPr>
    <w:sdtContent>
      <w:p w14:paraId="62FDD3FF" w14:textId="77777777" w:rsidR="003A5F64" w:rsidRPr="00904B0E" w:rsidRDefault="003A5F64" w:rsidP="00582C01">
        <w:pPr>
          <w:pStyle w:val="Footer"/>
          <w:framePr w:wrap="none" w:vAnchor="text" w:hAnchor="margin" w:xAlign="right" w:y="1"/>
          <w:rPr>
            <w:rStyle w:val="PageNumber"/>
            <w:sz w:val="18"/>
            <w:szCs w:val="18"/>
          </w:rPr>
        </w:pPr>
        <w:r w:rsidRPr="00904B0E">
          <w:rPr>
            <w:rStyle w:val="PageNumber"/>
            <w:sz w:val="18"/>
            <w:szCs w:val="18"/>
          </w:rPr>
          <w:fldChar w:fldCharType="begin"/>
        </w:r>
        <w:r w:rsidRPr="00904B0E">
          <w:rPr>
            <w:rStyle w:val="PageNumber"/>
            <w:sz w:val="18"/>
            <w:szCs w:val="18"/>
          </w:rPr>
          <w:instrText xml:space="preserve"> PAGE </w:instrText>
        </w:r>
        <w:r w:rsidRPr="00904B0E">
          <w:rPr>
            <w:rStyle w:val="PageNumber"/>
            <w:sz w:val="18"/>
            <w:szCs w:val="18"/>
          </w:rPr>
          <w:fldChar w:fldCharType="separate"/>
        </w:r>
        <w:r w:rsidRPr="00904B0E">
          <w:rPr>
            <w:rStyle w:val="PageNumber"/>
            <w:noProof/>
            <w:sz w:val="18"/>
            <w:szCs w:val="18"/>
          </w:rPr>
          <w:t>2</w:t>
        </w:r>
        <w:r w:rsidRPr="00904B0E">
          <w:rPr>
            <w:rStyle w:val="PageNumber"/>
            <w:sz w:val="18"/>
            <w:szCs w:val="18"/>
          </w:rPr>
          <w:fldChar w:fldCharType="end"/>
        </w:r>
      </w:p>
    </w:sdtContent>
  </w:sdt>
  <w:p w14:paraId="3EBAD61F" w14:textId="77777777" w:rsidR="003A5F64" w:rsidRPr="00904B0E" w:rsidRDefault="003A5F64" w:rsidP="007F362D">
    <w:pPr>
      <w:rPr>
        <w:sz w:val="18"/>
        <w:szCs w:val="18"/>
      </w:rPr>
    </w:pPr>
    <w:r w:rsidRPr="00904B0E">
      <w:rPr>
        <w:sz w:val="18"/>
        <w:szCs w:val="18"/>
      </w:rPr>
      <w:t>Board_Meeting_Minutes_Policy_2026</w:t>
    </w:r>
    <w:r w:rsidRPr="00904B0E">
      <w:rPr>
        <w:sz w:val="18"/>
        <w:szCs w:val="18"/>
      </w:rPr>
      <w:tab/>
    </w:r>
  </w:p>
  <w:p w14:paraId="20B5401A" w14:textId="77777777" w:rsidR="00D75C39" w:rsidRPr="00904B0E" w:rsidRDefault="00D75C39" w:rsidP="007F362D">
    <w:pPr>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424DAF" w14:textId="77777777" w:rsidR="003A5F64" w:rsidRDefault="003A5F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71AF54" w14:textId="77777777" w:rsidR="00251FD3" w:rsidRDefault="00251FD3">
      <w:r>
        <w:separator/>
      </w:r>
    </w:p>
  </w:footnote>
  <w:footnote w:type="continuationSeparator" w:id="0">
    <w:p w14:paraId="79ECDF96" w14:textId="77777777" w:rsidR="00251FD3" w:rsidRDefault="00251F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ACD6B6" w14:textId="77777777" w:rsidR="003A5F64" w:rsidRDefault="003A5F6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4C543" w14:textId="77777777" w:rsidR="00D75C39" w:rsidRPr="00BF244B" w:rsidRDefault="00D75C39" w:rsidP="00BF244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A443EB" w14:textId="77777777" w:rsidR="003A5F64" w:rsidRDefault="003A5F6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917CB3"/>
    <w:multiLevelType w:val="hybridMultilevel"/>
    <w:tmpl w:val="70000C0C"/>
    <w:lvl w:ilvl="0" w:tplc="9A6EF8CA">
      <w:start w:val="1"/>
      <w:numFmt w:val="bullet"/>
      <w:lvlText w:val="•"/>
      <w:lvlJc w:val="left"/>
      <w:pPr>
        <w:ind w:left="720" w:hanging="360"/>
      </w:pPr>
    </w:lvl>
    <w:lvl w:ilvl="1" w:tplc="0D9A1220">
      <w:numFmt w:val="decimal"/>
      <w:lvlText w:val=""/>
      <w:lvlJc w:val="left"/>
    </w:lvl>
    <w:lvl w:ilvl="2" w:tplc="BAF835A2">
      <w:numFmt w:val="decimal"/>
      <w:lvlText w:val=""/>
      <w:lvlJc w:val="left"/>
    </w:lvl>
    <w:lvl w:ilvl="3" w:tplc="146CB302">
      <w:numFmt w:val="decimal"/>
      <w:lvlText w:val=""/>
      <w:lvlJc w:val="left"/>
    </w:lvl>
    <w:lvl w:ilvl="4" w:tplc="D304D166">
      <w:numFmt w:val="decimal"/>
      <w:lvlText w:val=""/>
      <w:lvlJc w:val="left"/>
    </w:lvl>
    <w:lvl w:ilvl="5" w:tplc="BE3E04A6">
      <w:numFmt w:val="decimal"/>
      <w:lvlText w:val=""/>
      <w:lvlJc w:val="left"/>
    </w:lvl>
    <w:lvl w:ilvl="6" w:tplc="939E8DA2">
      <w:numFmt w:val="decimal"/>
      <w:lvlText w:val=""/>
      <w:lvlJc w:val="left"/>
    </w:lvl>
    <w:lvl w:ilvl="7" w:tplc="18164E9C">
      <w:numFmt w:val="decimal"/>
      <w:lvlText w:val=""/>
      <w:lvlJc w:val="left"/>
    </w:lvl>
    <w:lvl w:ilvl="8" w:tplc="0D5015C2">
      <w:numFmt w:val="decimal"/>
      <w:lvlText w:val=""/>
      <w:lvlJc w:val="left"/>
    </w:lvl>
  </w:abstractNum>
  <w:abstractNum w:abstractNumId="1" w15:restartNumberingAfterBreak="0">
    <w:nsid w:val="38541B80"/>
    <w:multiLevelType w:val="hybridMultilevel"/>
    <w:tmpl w:val="4BD4844E"/>
    <w:lvl w:ilvl="0" w:tplc="2278C0B2">
      <w:start w:val="1"/>
      <w:numFmt w:val="bullet"/>
      <w:lvlText w:val="●"/>
      <w:lvlJc w:val="left"/>
      <w:pPr>
        <w:ind w:left="720" w:hanging="360"/>
      </w:pPr>
    </w:lvl>
    <w:lvl w:ilvl="1" w:tplc="F896179C">
      <w:start w:val="1"/>
      <w:numFmt w:val="bullet"/>
      <w:lvlText w:val="○"/>
      <w:lvlJc w:val="left"/>
      <w:pPr>
        <w:ind w:left="1440" w:hanging="360"/>
      </w:pPr>
    </w:lvl>
    <w:lvl w:ilvl="2" w:tplc="36F49206">
      <w:start w:val="1"/>
      <w:numFmt w:val="bullet"/>
      <w:lvlText w:val="■"/>
      <w:lvlJc w:val="left"/>
      <w:pPr>
        <w:ind w:left="2160" w:hanging="360"/>
      </w:pPr>
    </w:lvl>
    <w:lvl w:ilvl="3" w:tplc="5894A79E">
      <w:start w:val="1"/>
      <w:numFmt w:val="bullet"/>
      <w:lvlText w:val="●"/>
      <w:lvlJc w:val="left"/>
      <w:pPr>
        <w:ind w:left="2880" w:hanging="360"/>
      </w:pPr>
    </w:lvl>
    <w:lvl w:ilvl="4" w:tplc="FDCC4960">
      <w:start w:val="1"/>
      <w:numFmt w:val="bullet"/>
      <w:lvlText w:val="○"/>
      <w:lvlJc w:val="left"/>
      <w:pPr>
        <w:ind w:left="3600" w:hanging="360"/>
      </w:pPr>
    </w:lvl>
    <w:lvl w:ilvl="5" w:tplc="63D42842">
      <w:start w:val="1"/>
      <w:numFmt w:val="bullet"/>
      <w:lvlText w:val="■"/>
      <w:lvlJc w:val="left"/>
      <w:pPr>
        <w:ind w:left="4320" w:hanging="360"/>
      </w:pPr>
    </w:lvl>
    <w:lvl w:ilvl="6" w:tplc="B6D82F16">
      <w:start w:val="1"/>
      <w:numFmt w:val="bullet"/>
      <w:lvlText w:val="●"/>
      <w:lvlJc w:val="left"/>
      <w:pPr>
        <w:ind w:left="5040" w:hanging="360"/>
      </w:pPr>
    </w:lvl>
    <w:lvl w:ilvl="7" w:tplc="D78A786C">
      <w:start w:val="1"/>
      <w:numFmt w:val="bullet"/>
      <w:lvlText w:val="●"/>
      <w:lvlJc w:val="left"/>
      <w:pPr>
        <w:ind w:left="5760" w:hanging="360"/>
      </w:pPr>
    </w:lvl>
    <w:lvl w:ilvl="8" w:tplc="3A704854">
      <w:start w:val="1"/>
      <w:numFmt w:val="bullet"/>
      <w:lvlText w:val="●"/>
      <w:lvlJc w:val="left"/>
      <w:pPr>
        <w:ind w:left="6480" w:hanging="360"/>
      </w:pPr>
    </w:lvl>
  </w:abstractNum>
  <w:num w:numId="1" w16cid:durableId="614797982">
    <w:abstractNumId w:val="1"/>
    <w:lvlOverride w:ilvl="0">
      <w:startOverride w:val="1"/>
    </w:lvlOverride>
  </w:num>
  <w:num w:numId="2" w16cid:durableId="1166477053">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5C39"/>
    <w:rsid w:val="001F54CA"/>
    <w:rsid w:val="00251FD3"/>
    <w:rsid w:val="002C3BBA"/>
    <w:rsid w:val="002D3531"/>
    <w:rsid w:val="002E5017"/>
    <w:rsid w:val="003A5F64"/>
    <w:rsid w:val="004C62A4"/>
    <w:rsid w:val="004F6FC4"/>
    <w:rsid w:val="00564102"/>
    <w:rsid w:val="005C3780"/>
    <w:rsid w:val="00605BEC"/>
    <w:rsid w:val="00625E19"/>
    <w:rsid w:val="00706605"/>
    <w:rsid w:val="007D1488"/>
    <w:rsid w:val="007F362D"/>
    <w:rsid w:val="00803EAE"/>
    <w:rsid w:val="00810D76"/>
    <w:rsid w:val="00904B0E"/>
    <w:rsid w:val="009A6291"/>
    <w:rsid w:val="009B56EC"/>
    <w:rsid w:val="00A7199E"/>
    <w:rsid w:val="00B2434E"/>
    <w:rsid w:val="00BC24A8"/>
    <w:rsid w:val="00BE22F2"/>
    <w:rsid w:val="00BF244B"/>
    <w:rsid w:val="00C227F1"/>
    <w:rsid w:val="00CE0590"/>
    <w:rsid w:val="00D13EEC"/>
    <w:rsid w:val="00D75C39"/>
    <w:rsid w:val="00DA4EAB"/>
    <w:rsid w:val="00F0369F"/>
    <w:rsid w:val="00F735E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4:docId w14:val="1E2209B1"/>
  <w15:docId w15:val="{805A6F5E-752F-2441-A9C8-0DBD89FAF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000000"/>
        <w:sz w:val="22"/>
        <w:szCs w:val="22"/>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link w:val="Heading2Char"/>
    <w:uiPriority w:val="9"/>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3A5F64"/>
    <w:pPr>
      <w:tabs>
        <w:tab w:val="center" w:pos="4680"/>
        <w:tab w:val="right" w:pos="9360"/>
      </w:tabs>
    </w:pPr>
  </w:style>
  <w:style w:type="character" w:customStyle="1" w:styleId="HeaderChar">
    <w:name w:val="Header Char"/>
    <w:basedOn w:val="DefaultParagraphFont"/>
    <w:link w:val="Header"/>
    <w:uiPriority w:val="99"/>
    <w:rsid w:val="003A5F64"/>
  </w:style>
  <w:style w:type="paragraph" w:styleId="Footer">
    <w:name w:val="footer"/>
    <w:basedOn w:val="Normal"/>
    <w:link w:val="FooterChar"/>
    <w:uiPriority w:val="99"/>
    <w:unhideWhenUsed/>
    <w:rsid w:val="003A5F64"/>
    <w:pPr>
      <w:tabs>
        <w:tab w:val="center" w:pos="4680"/>
        <w:tab w:val="right" w:pos="9360"/>
      </w:tabs>
    </w:pPr>
  </w:style>
  <w:style w:type="character" w:customStyle="1" w:styleId="FooterChar">
    <w:name w:val="Footer Char"/>
    <w:basedOn w:val="DefaultParagraphFont"/>
    <w:link w:val="Footer"/>
    <w:uiPriority w:val="99"/>
    <w:rsid w:val="003A5F64"/>
  </w:style>
  <w:style w:type="character" w:styleId="PageNumber">
    <w:name w:val="page number"/>
    <w:basedOn w:val="DefaultParagraphFont"/>
    <w:uiPriority w:val="99"/>
    <w:semiHidden/>
    <w:unhideWhenUsed/>
    <w:rsid w:val="003A5F64"/>
  </w:style>
  <w:style w:type="character" w:customStyle="1" w:styleId="Heading2Char">
    <w:name w:val="Heading 2 Char"/>
    <w:basedOn w:val="DefaultParagraphFont"/>
    <w:link w:val="Heading2"/>
    <w:uiPriority w:val="9"/>
    <w:rsid w:val="00DA4EAB"/>
    <w:rPr>
      <w:color w:val="2E74B5"/>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478</Words>
  <Characters>3012</Characters>
  <Application>Microsoft Office Word</Application>
  <DocSecurity>0</DocSecurity>
  <Lines>58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Madison Byers</cp:lastModifiedBy>
  <cp:revision>5</cp:revision>
  <dcterms:created xsi:type="dcterms:W3CDTF">2026-03-11T00:43:00Z</dcterms:created>
  <dcterms:modified xsi:type="dcterms:W3CDTF">2026-05-12T21:37:00Z</dcterms:modified>
</cp:coreProperties>
</file>